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103</w:t>
      </w:r>
    </w:p>
    <w:p>
      <w:r>
        <w:t>Bundesgericht (BGE), 1994-08-05, DE</w:t>
      </w:r>
    </w:p>
    <w:p>
      <w:r>
        <w:rPr>
          <w:b/>
        </w:rPr>
        <w:t xml:space="preserve">Quelle: </w:t>
      </w:r>
      <w:r>
        <w:t>https://mcp.opencaselaw.ch/entscheid/bge_120 III 103</w:t>
      </w:r>
    </w:p>
    <w:p>
      <w:r>
        <w:t>FR: ATF 120 III 103</w:t>
      </w:r>
    </w:p>
    <w:p>
      <w:r>
        <w:t>IT: DTF 120 III 103</w:t>
      </w:r>
    </w:p>
    <w:p>
      <w:pPr>
        <w:pStyle w:val="Heading2"/>
      </w:pPr>
      <w:r>
        <w:t>Regeste</w:t>
      </w:r>
    </w:p>
    <w:p>
      <w:r>
        <w:t>Regeste Art. 67 Abs. 3 GebVSchKG. Auferlegung der Verfahrenskosten wegen Auskunftsverweigerung gegenüber der kantonalen Aufsichtsbehörde über Schuldbetreibung und Konkurs.</w:t>
      </w:r>
    </w:p>
    <w:p>
      <w:pPr>
        <w:pStyle w:val="Heading2"/>
      </w:pPr>
      <w:r>
        <w:t>Erwägungen</w:t>
      </w:r>
    </w:p>
    <w:p>
      <w:r>
        <w:rPr>
          <w:b/>
        </w:rPr>
        <w:t>E. 2</w:t>
      </w:r>
    </w:p>
    <w:p>
      <w:r>
        <w:t>Gemäss Art. 67 Abs. 3 GebVSchKG (SR 281.35) können einer Partei bei böswilliger oder mutwilliger Beschwerdeführung die Verfahrenskosten auferlegt werden. Mit dem Dispositiv des angefochtenen Entscheides ist zwar die Beschwerde insofern gutgeheissen worden, als - dem Antrag des Beschwerdeführers entsprechend - ein Pfandgegenstand als Kompetenzstück im Sinne von Art. 92 Ziff. 3 SchKG aus dem Pfändungsbeschlag entlassen wurde. Das ändert aber nichts daran, dass zugleich die Sache an das Betreibungsamt zurückgewiesen werden musste, weil möglicherweise bis dahin vom Schuldner verschwiegene Einkünfte zu pfänden sind. Über diese Einkünfte hatte die kantonale Aufsichtsbehörde vom Schuldner am 9. Mai 1994 Angaben verlangt, welche er indessen verweigerte. Die Aufsichtsbehörde gelangte deshalb an das Sozialversicherungsamt des Kantons Schaffhausen, von dem es erfuhr, dass M. N. seit dem 28. September 1992 mit Unterbrüchen Taggelder der Arbeitslosenversicherung bezogen hatte. Es hilft dem Rekurrenten nicht, wenn er vor Bundesgericht geltend macht, von der Arbeitslosenkasse seien mehrere Sperrtage verfügt worden und die Arbeitslosenunterstützung stelle "keine feste Grösse" dar. Der Rekurrent hat sich im kantonalen Verfahren dem Vorwurf der Mutwilligkeit ausgesetzt, weil er gegenüber der Aufsichtsbehörde die Bezüge von der Arbeitslosenkasse und damit den Hauptteil seiner Einkünfte verschwiegen hat - und das, obwohl er von der Aufsichtsbehörde ausdrücklich zu deren Angabe aufgefordert worden war. Unter diesen Umständen sind ihm die Verfahrenskosten zu Recht auferlegt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